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1CA" w:rsidRPr="004571CA" w:rsidRDefault="004571CA" w:rsidP="0014009D">
      <w:pPr>
        <w:spacing w:after="0" w:line="480" w:lineRule="auto"/>
        <w:jc w:val="center"/>
        <w:rPr>
          <w:rFonts w:ascii="Times New Roman" w:hAnsi="Times New Roman" w:cs="Times New Roman"/>
          <w:sz w:val="24"/>
          <w:szCs w:val="24"/>
        </w:rPr>
      </w:pPr>
    </w:p>
    <w:p w:rsidR="004571CA" w:rsidRPr="004571CA" w:rsidRDefault="004571CA" w:rsidP="0014009D">
      <w:pPr>
        <w:spacing w:after="0" w:line="480" w:lineRule="auto"/>
        <w:rPr>
          <w:rFonts w:ascii="Times New Roman" w:hAnsi="Times New Roman" w:cs="Times New Roman"/>
          <w:sz w:val="24"/>
          <w:szCs w:val="24"/>
        </w:rPr>
      </w:pPr>
    </w:p>
    <w:p w:rsidR="004571CA" w:rsidRPr="004571CA" w:rsidRDefault="004571CA" w:rsidP="0014009D">
      <w:pPr>
        <w:spacing w:after="0" w:line="480" w:lineRule="auto"/>
        <w:jc w:val="center"/>
        <w:rPr>
          <w:rFonts w:ascii="Times New Roman" w:hAnsi="Times New Roman" w:cs="Times New Roman"/>
          <w:sz w:val="24"/>
          <w:szCs w:val="24"/>
        </w:rPr>
      </w:pPr>
    </w:p>
    <w:p w:rsidR="004571CA" w:rsidRPr="004571CA" w:rsidRDefault="004571CA" w:rsidP="0014009D">
      <w:pPr>
        <w:spacing w:after="0" w:line="480" w:lineRule="auto"/>
        <w:jc w:val="center"/>
        <w:rPr>
          <w:rFonts w:ascii="Times New Roman" w:hAnsi="Times New Roman" w:cs="Times New Roman"/>
          <w:sz w:val="24"/>
          <w:szCs w:val="24"/>
        </w:rPr>
      </w:pPr>
    </w:p>
    <w:p w:rsidR="004571CA" w:rsidRPr="004571CA" w:rsidRDefault="004571CA" w:rsidP="0014009D">
      <w:pPr>
        <w:spacing w:after="0" w:line="480" w:lineRule="auto"/>
        <w:jc w:val="center"/>
        <w:rPr>
          <w:rFonts w:ascii="Times New Roman" w:hAnsi="Times New Roman" w:cs="Times New Roman"/>
          <w:sz w:val="24"/>
          <w:szCs w:val="24"/>
        </w:rPr>
      </w:pPr>
    </w:p>
    <w:p w:rsidR="004571CA" w:rsidRPr="004571CA" w:rsidRDefault="004571CA" w:rsidP="0014009D">
      <w:pPr>
        <w:spacing w:after="0" w:line="480" w:lineRule="auto"/>
        <w:rPr>
          <w:rFonts w:ascii="Times New Roman" w:hAnsi="Times New Roman" w:cs="Times New Roman"/>
          <w:sz w:val="24"/>
          <w:szCs w:val="24"/>
        </w:rPr>
      </w:pPr>
    </w:p>
    <w:p w:rsidR="004571CA" w:rsidRPr="004571CA" w:rsidRDefault="004571CA" w:rsidP="0014009D">
      <w:pPr>
        <w:spacing w:after="0" w:line="480" w:lineRule="auto"/>
        <w:jc w:val="center"/>
        <w:rPr>
          <w:rFonts w:ascii="Times New Roman" w:hAnsi="Times New Roman" w:cs="Times New Roman"/>
          <w:sz w:val="24"/>
          <w:szCs w:val="24"/>
        </w:rPr>
      </w:pPr>
    </w:p>
    <w:p w:rsidR="004571CA" w:rsidRPr="004571CA" w:rsidRDefault="004571CA" w:rsidP="0014009D">
      <w:pPr>
        <w:spacing w:after="0" w:line="480" w:lineRule="auto"/>
        <w:jc w:val="center"/>
        <w:rPr>
          <w:rFonts w:ascii="Times New Roman" w:hAnsi="Times New Roman" w:cs="Times New Roman"/>
          <w:sz w:val="24"/>
          <w:szCs w:val="24"/>
        </w:rPr>
      </w:pPr>
    </w:p>
    <w:p w:rsidR="004571CA" w:rsidRPr="004571CA" w:rsidRDefault="004571CA" w:rsidP="0014009D">
      <w:pPr>
        <w:spacing w:after="0" w:line="480" w:lineRule="auto"/>
        <w:jc w:val="center"/>
        <w:rPr>
          <w:rFonts w:ascii="Times New Roman" w:hAnsi="Times New Roman" w:cs="Times New Roman"/>
          <w:sz w:val="24"/>
          <w:szCs w:val="24"/>
        </w:rPr>
      </w:pPr>
    </w:p>
    <w:p w:rsidR="004571CA" w:rsidRPr="004571CA" w:rsidRDefault="004571CA" w:rsidP="0014009D">
      <w:pPr>
        <w:spacing w:after="0" w:line="480" w:lineRule="auto"/>
        <w:jc w:val="center"/>
        <w:rPr>
          <w:rFonts w:ascii="Times New Roman" w:hAnsi="Times New Roman" w:cs="Times New Roman"/>
          <w:sz w:val="24"/>
          <w:szCs w:val="24"/>
        </w:rPr>
      </w:pPr>
    </w:p>
    <w:p w:rsidR="004571CA" w:rsidRPr="004571CA" w:rsidRDefault="004571CA" w:rsidP="0014009D">
      <w:pPr>
        <w:spacing w:after="0" w:line="480" w:lineRule="auto"/>
        <w:jc w:val="center"/>
        <w:rPr>
          <w:rFonts w:ascii="Times New Roman" w:hAnsi="Times New Roman" w:cs="Times New Roman"/>
          <w:sz w:val="24"/>
          <w:szCs w:val="24"/>
        </w:rPr>
      </w:pPr>
      <w:r w:rsidRPr="004571CA">
        <w:rPr>
          <w:rFonts w:ascii="Times New Roman" w:hAnsi="Times New Roman" w:cs="Times New Roman"/>
          <w:sz w:val="24"/>
          <w:szCs w:val="24"/>
        </w:rPr>
        <w:t>Transition planning</w:t>
      </w:r>
    </w:p>
    <w:p w:rsidR="004571CA" w:rsidRPr="004571CA" w:rsidRDefault="004571CA" w:rsidP="0014009D">
      <w:pPr>
        <w:spacing w:after="0" w:line="480" w:lineRule="auto"/>
        <w:jc w:val="center"/>
        <w:rPr>
          <w:rFonts w:ascii="Times New Roman" w:hAnsi="Times New Roman" w:cs="Times New Roman"/>
          <w:sz w:val="24"/>
          <w:szCs w:val="24"/>
        </w:rPr>
      </w:pPr>
      <w:r w:rsidRPr="004571CA">
        <w:rPr>
          <w:rFonts w:ascii="Times New Roman" w:hAnsi="Times New Roman" w:cs="Times New Roman"/>
          <w:sz w:val="24"/>
          <w:szCs w:val="24"/>
        </w:rPr>
        <w:t>Author’s name</w:t>
      </w:r>
    </w:p>
    <w:p w:rsidR="004571CA" w:rsidRPr="004571CA" w:rsidRDefault="004571CA" w:rsidP="0014009D">
      <w:pPr>
        <w:spacing w:after="0" w:line="480" w:lineRule="auto"/>
        <w:jc w:val="center"/>
        <w:rPr>
          <w:rFonts w:ascii="Times New Roman" w:hAnsi="Times New Roman" w:cs="Times New Roman"/>
          <w:sz w:val="24"/>
          <w:szCs w:val="24"/>
        </w:rPr>
      </w:pPr>
      <w:r w:rsidRPr="004571CA">
        <w:rPr>
          <w:rFonts w:ascii="Times New Roman" w:hAnsi="Times New Roman" w:cs="Times New Roman"/>
          <w:sz w:val="24"/>
          <w:szCs w:val="24"/>
        </w:rPr>
        <w:t xml:space="preserve">Institutional </w:t>
      </w:r>
      <w:r w:rsidR="00783E6A">
        <w:rPr>
          <w:rFonts w:ascii="Times New Roman" w:hAnsi="Times New Roman" w:cs="Times New Roman"/>
          <w:sz w:val="24"/>
          <w:szCs w:val="24"/>
        </w:rPr>
        <w:t>a</w:t>
      </w:r>
      <w:r w:rsidRPr="004571CA">
        <w:rPr>
          <w:rFonts w:ascii="Times New Roman" w:hAnsi="Times New Roman" w:cs="Times New Roman"/>
          <w:sz w:val="24"/>
          <w:szCs w:val="24"/>
        </w:rPr>
        <w:t>ffiliation</w:t>
      </w:r>
    </w:p>
    <w:p w:rsidR="004571CA" w:rsidRPr="004571CA" w:rsidRDefault="004571CA" w:rsidP="0014009D">
      <w:pPr>
        <w:spacing w:after="0" w:line="480" w:lineRule="auto"/>
        <w:rPr>
          <w:rFonts w:ascii="Times New Roman" w:hAnsi="Times New Roman" w:cs="Times New Roman"/>
          <w:sz w:val="24"/>
          <w:szCs w:val="24"/>
        </w:rPr>
      </w:pPr>
      <w:r w:rsidRPr="004571CA">
        <w:rPr>
          <w:rFonts w:ascii="Times New Roman" w:hAnsi="Times New Roman" w:cs="Times New Roman"/>
          <w:sz w:val="24"/>
          <w:szCs w:val="24"/>
        </w:rPr>
        <w:br w:type="page"/>
      </w:r>
    </w:p>
    <w:p w:rsidR="0014009D" w:rsidRDefault="0014009D" w:rsidP="0014009D">
      <w:pPr>
        <w:pStyle w:val="NormalWeb"/>
        <w:spacing w:before="0" w:beforeAutospacing="0" w:after="0" w:afterAutospacing="0" w:line="480" w:lineRule="auto"/>
        <w:rPr>
          <w:color w:val="1C1E29"/>
        </w:rPr>
      </w:pPr>
      <w:r>
        <w:rPr>
          <w:rStyle w:val="Strong"/>
          <w:color w:val="1C1E29"/>
        </w:rPr>
        <w:lastRenderedPageBreak/>
        <w:t>Transition planning</w:t>
      </w:r>
    </w:p>
    <w:p w:rsidR="0014009D" w:rsidRDefault="0014009D" w:rsidP="0014009D">
      <w:pPr>
        <w:pStyle w:val="NormalWeb"/>
        <w:spacing w:before="0" w:beforeAutospacing="0" w:after="0" w:afterAutospacing="0" w:line="480" w:lineRule="auto"/>
        <w:ind w:firstLine="720"/>
        <w:rPr>
          <w:color w:val="1C1E29"/>
        </w:rPr>
      </w:pPr>
      <w:r>
        <w:rPr>
          <w:color w:val="1C1E29"/>
        </w:rPr>
        <w:t>Transition planning are the activities for children with disabilities that focuses mainly on improving their academic and functional performance. It facilitates the smooth change from school to post-school activities, for example, vocational training, supported employment adult education and independent living. These activities must be in line with the individual needs of each child and consider the child's strengths, weaknesses and interests.</w:t>
      </w:r>
    </w:p>
    <w:p w:rsidR="0014009D" w:rsidRDefault="0014009D" w:rsidP="0014009D">
      <w:pPr>
        <w:pStyle w:val="NormalWeb"/>
        <w:spacing w:before="0" w:beforeAutospacing="0" w:after="0" w:afterAutospacing="0" w:line="480" w:lineRule="auto"/>
        <w:rPr>
          <w:color w:val="1C1E29"/>
        </w:rPr>
      </w:pPr>
      <w:r>
        <w:rPr>
          <w:rStyle w:val="Strong"/>
          <w:color w:val="1C1E29"/>
        </w:rPr>
        <w:t>Understanding of transition planning</w:t>
      </w:r>
    </w:p>
    <w:p w:rsidR="0014009D" w:rsidRDefault="0014009D" w:rsidP="0014009D">
      <w:pPr>
        <w:pStyle w:val="NormalWeb"/>
        <w:spacing w:before="0" w:beforeAutospacing="0" w:after="0" w:afterAutospacing="0" w:line="480" w:lineRule="auto"/>
        <w:ind w:firstLine="720"/>
        <w:rPr>
          <w:color w:val="1C1E29"/>
        </w:rPr>
      </w:pPr>
      <w:r>
        <w:rPr>
          <w:color w:val="1C1E29"/>
        </w:rPr>
        <w:t>Transition planning was commission by IDEA to help the students with Individualized Education Programs in k-12 education. This process aims at assisting these students in moving from school to post-school activities with ease. During the planning process, the child works on specific goals and receives help from the school staff to achieve the goals. The schools are expected to offer transition planning services to all children with Individualized Education Program (IEP) by the age of 14 years. The student is expected to share his interests with his teacher</w:t>
      </w:r>
      <w:r w:rsidR="00B77F7D">
        <w:rPr>
          <w:color w:val="1C1E29"/>
        </w:rPr>
        <w:t>s</w:t>
      </w:r>
      <w:r>
        <w:rPr>
          <w:color w:val="1C1E29"/>
        </w:rPr>
        <w:t xml:space="preserve"> and other staff members available (</w:t>
      </w:r>
      <w:proofErr w:type="spellStart"/>
      <w:r>
        <w:rPr>
          <w:color w:val="1C1E29"/>
        </w:rPr>
        <w:t>Wrightslaw</w:t>
      </w:r>
      <w:proofErr w:type="spellEnd"/>
      <w:r>
        <w:rPr>
          <w:color w:val="1C1E29"/>
        </w:rPr>
        <w:t>, 2019).</w:t>
      </w:r>
    </w:p>
    <w:p w:rsidR="0014009D" w:rsidRDefault="0014009D" w:rsidP="0014009D">
      <w:pPr>
        <w:pStyle w:val="NormalWeb"/>
        <w:spacing w:before="0" w:beforeAutospacing="0" w:after="0" w:afterAutospacing="0" w:line="480" w:lineRule="auto"/>
        <w:ind w:firstLine="720"/>
        <w:rPr>
          <w:color w:val="1C1E29"/>
        </w:rPr>
      </w:pPr>
      <w:r>
        <w:rPr>
          <w:color w:val="1C1E29"/>
        </w:rPr>
        <w:t xml:space="preserve"> The school </w:t>
      </w:r>
      <w:proofErr w:type="gramStart"/>
      <w:r>
        <w:rPr>
          <w:color w:val="1C1E29"/>
        </w:rPr>
        <w:t>staff, together with the students, explore</w:t>
      </w:r>
      <w:proofErr w:type="gramEnd"/>
      <w:r>
        <w:rPr>
          <w:color w:val="1C1E29"/>
        </w:rPr>
        <w:t xml:space="preserve"> the possible post-secondary options for the students. These may include employment, additional training, employment training and independent living among others depending on age-appropriate assessments of the transition. The staff analyzes the course of study and the objectives that are necessary for achieving the desired outcomes. The team repeats this process every year so that they can make adjustments to the plan according to any recent changes in the student's interests. Transition planning is an essential aspect for the future of the students with a disability as it guides them on the best steps to take after school. The number of undergraduate students with a disability has gone up by 7.6% </w:t>
      </w:r>
      <w:proofErr w:type="gramStart"/>
      <w:r>
        <w:rPr>
          <w:color w:val="1C1E29"/>
        </w:rPr>
        <w:lastRenderedPageBreak/>
        <w:t>from</w:t>
      </w:r>
      <w:proofErr w:type="gramEnd"/>
      <w:r>
        <w:rPr>
          <w:color w:val="1C1E29"/>
        </w:rPr>
        <w:t xml:space="preserve"> 2012 to 2017, meaning that students with disability are continuously enrolling for higher education. </w:t>
      </w:r>
    </w:p>
    <w:p w:rsidR="0014009D" w:rsidRDefault="0014009D" w:rsidP="0014009D">
      <w:pPr>
        <w:pStyle w:val="NormalWeb"/>
        <w:spacing w:before="0" w:beforeAutospacing="0" w:after="0" w:afterAutospacing="0" w:line="480" w:lineRule="auto"/>
        <w:rPr>
          <w:color w:val="1C1E29"/>
        </w:rPr>
      </w:pPr>
      <w:r>
        <w:rPr>
          <w:rStyle w:val="Strong"/>
          <w:color w:val="1C1E29"/>
        </w:rPr>
        <w:t>Summary of the critical points gained regarding the transition</w:t>
      </w:r>
    </w:p>
    <w:p w:rsidR="00B77F7D" w:rsidRDefault="00B77F7D" w:rsidP="00B77F7D">
      <w:pPr>
        <w:pStyle w:val="NormalWeb"/>
        <w:spacing w:before="0" w:beforeAutospacing="0" w:after="0" w:afterAutospacing="0" w:line="480" w:lineRule="auto"/>
        <w:ind w:firstLine="720"/>
        <w:rPr>
          <w:color w:val="1C1E29"/>
        </w:rPr>
      </w:pPr>
      <w:r w:rsidRPr="00B77F7D">
        <w:rPr>
          <w:color w:val="1C1E29"/>
        </w:rPr>
        <w:t xml:space="preserve">The process of transitional planning begins when the child is in elementary school with career awareness activities. It is the first step students take to develop their Education program from the age of 14 going up. Staffs play a crucial role in assisting students with a disability to develop a transition plan. The plan facilitates their post-school outcomes. It entails adult education, employment, additional training, and independent living. Transitional planning is vital because it helps these students function like other adults in the real world. It also increases their chances of pursuing post-secondary education. Transition planning helps students with disability achieve their post-school outcomes. It also provides them with a course of action tailored to meet an individual child's dreams, interests and goals. </w:t>
      </w:r>
    </w:p>
    <w:p w:rsidR="00B77F7D" w:rsidRDefault="0014009D" w:rsidP="00B77F7D">
      <w:pPr>
        <w:pStyle w:val="NormalWeb"/>
        <w:spacing w:before="0" w:beforeAutospacing="0" w:after="0" w:afterAutospacing="0" w:line="480" w:lineRule="auto"/>
        <w:rPr>
          <w:rStyle w:val="Strong"/>
          <w:color w:val="1C1E29"/>
        </w:rPr>
      </w:pPr>
      <w:r>
        <w:rPr>
          <w:rStyle w:val="Strong"/>
          <w:color w:val="1C1E29"/>
        </w:rPr>
        <w:t>How I will apply my understanding of transition planning in teaching</w:t>
      </w:r>
    </w:p>
    <w:p w:rsidR="0014009D" w:rsidRPr="00B77F7D" w:rsidRDefault="00B77F7D" w:rsidP="00B77F7D">
      <w:pPr>
        <w:pStyle w:val="NormalWeb"/>
        <w:spacing w:before="0" w:beforeAutospacing="0" w:after="0" w:afterAutospacing="0" w:line="480" w:lineRule="auto"/>
        <w:ind w:firstLine="720"/>
        <w:rPr>
          <w:color w:val="1C1E29"/>
        </w:rPr>
      </w:pPr>
      <w:r w:rsidRPr="00B77F7D">
        <w:rPr>
          <w:color w:val="1C1E29"/>
        </w:rPr>
        <w:t xml:space="preserve">As a teacher, I will apply my knowledge of transition planning in teaching to help students with disability attain their post-school goals. The first and most crucial step for a successful transition is the coming together of students, their parents, administrators, the coordinator and other teachers and other involved and forming a transition team. I will include the students in all the activities relating to the planning process. I will provide the students with the necessary academic support and also ensure that they are competent in literacy and mathematics. It will help them in the long-term when pursuing higher education and it will also contribute to a better transition to their post-school outcomes. I will also encourage the students to engage in extracurricular activities and also other community services. I will also help the </w:t>
      </w:r>
      <w:r w:rsidRPr="00B77F7D">
        <w:rPr>
          <w:color w:val="1C1E29"/>
        </w:rPr>
        <w:lastRenderedPageBreak/>
        <w:t xml:space="preserve">students develop a proper understanding of their learning disabilities. In this way, they get to how to use the information to understand </w:t>
      </w:r>
      <w:proofErr w:type="gramStart"/>
      <w:r w:rsidRPr="00B77F7D">
        <w:rPr>
          <w:color w:val="1C1E29"/>
        </w:rPr>
        <w:t>themselves</w:t>
      </w:r>
      <w:proofErr w:type="gramEnd"/>
      <w:r w:rsidRPr="00B77F7D">
        <w:rPr>
          <w:color w:val="1C1E29"/>
        </w:rPr>
        <w:t xml:space="preserve"> better and communicate with others.</w:t>
      </w: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B77F7D" w:rsidRDefault="00B77F7D" w:rsidP="0014009D">
      <w:pPr>
        <w:spacing w:after="0" w:line="480" w:lineRule="auto"/>
        <w:jc w:val="center"/>
        <w:rPr>
          <w:rFonts w:ascii="Times New Roman" w:hAnsi="Times New Roman" w:cs="Times New Roman"/>
          <w:sz w:val="24"/>
          <w:szCs w:val="24"/>
        </w:rPr>
      </w:pPr>
    </w:p>
    <w:p w:rsidR="00E242E9" w:rsidRPr="004571CA" w:rsidRDefault="004571CA" w:rsidP="0014009D">
      <w:pPr>
        <w:spacing w:after="0" w:line="480" w:lineRule="auto"/>
        <w:jc w:val="center"/>
        <w:rPr>
          <w:rFonts w:ascii="Times New Roman" w:hAnsi="Times New Roman" w:cs="Times New Roman"/>
          <w:sz w:val="24"/>
          <w:szCs w:val="24"/>
        </w:rPr>
      </w:pPr>
      <w:r w:rsidRPr="004571CA">
        <w:rPr>
          <w:rFonts w:ascii="Times New Roman" w:hAnsi="Times New Roman" w:cs="Times New Roman"/>
          <w:sz w:val="24"/>
          <w:szCs w:val="24"/>
        </w:rPr>
        <w:lastRenderedPageBreak/>
        <w:t>References</w:t>
      </w:r>
    </w:p>
    <w:p w:rsidR="004571CA" w:rsidRPr="004571CA" w:rsidRDefault="00913580" w:rsidP="0014009D">
      <w:pPr>
        <w:pStyle w:val="Bibliography"/>
        <w:spacing w:line="480" w:lineRule="auto"/>
        <w:ind w:left="720" w:hanging="720"/>
        <w:rPr>
          <w:rFonts w:ascii="Times New Roman" w:hAnsi="Times New Roman" w:cs="Times New Roman"/>
          <w:noProof/>
          <w:sz w:val="24"/>
          <w:szCs w:val="24"/>
        </w:rPr>
      </w:pPr>
      <w:r w:rsidRPr="004571CA">
        <w:rPr>
          <w:rFonts w:ascii="Times New Roman" w:hAnsi="Times New Roman" w:cs="Times New Roman"/>
          <w:sz w:val="24"/>
          <w:szCs w:val="24"/>
        </w:rPr>
        <w:fldChar w:fldCharType="begin"/>
      </w:r>
      <w:r w:rsidR="004571CA" w:rsidRPr="004571CA">
        <w:rPr>
          <w:rFonts w:ascii="Times New Roman" w:hAnsi="Times New Roman" w:cs="Times New Roman"/>
          <w:sz w:val="24"/>
          <w:szCs w:val="24"/>
        </w:rPr>
        <w:instrText xml:space="preserve"> BIBLIOGRAPHY  \l 1033 </w:instrText>
      </w:r>
      <w:r w:rsidRPr="004571CA">
        <w:rPr>
          <w:rFonts w:ascii="Times New Roman" w:hAnsi="Times New Roman" w:cs="Times New Roman"/>
          <w:sz w:val="24"/>
          <w:szCs w:val="24"/>
        </w:rPr>
        <w:fldChar w:fldCharType="separate"/>
      </w:r>
      <w:r w:rsidR="004571CA" w:rsidRPr="004571CA">
        <w:rPr>
          <w:rFonts w:ascii="Times New Roman" w:hAnsi="Times New Roman" w:cs="Times New Roman"/>
          <w:noProof/>
          <w:sz w:val="24"/>
          <w:szCs w:val="24"/>
        </w:rPr>
        <w:t xml:space="preserve">Wrightslaw. (2019). </w:t>
      </w:r>
      <w:r w:rsidR="004571CA" w:rsidRPr="004571CA">
        <w:rPr>
          <w:rFonts w:ascii="Times New Roman" w:hAnsi="Times New Roman" w:cs="Times New Roman"/>
          <w:i/>
          <w:iCs/>
          <w:noProof/>
          <w:sz w:val="24"/>
          <w:szCs w:val="24"/>
        </w:rPr>
        <w:t>Writing Individualized Education Programs .</w:t>
      </w:r>
      <w:r w:rsidR="004571CA" w:rsidRPr="004571CA">
        <w:rPr>
          <w:rFonts w:ascii="Times New Roman" w:hAnsi="Times New Roman" w:cs="Times New Roman"/>
          <w:noProof/>
          <w:sz w:val="24"/>
          <w:szCs w:val="24"/>
        </w:rPr>
        <w:t xml:space="preserve"> Retrieved from Wrightslaw: https://www.wrightslaw.com/advoc/articles/iep.success.bateman.htm</w:t>
      </w:r>
    </w:p>
    <w:p w:rsidR="004571CA" w:rsidRPr="004571CA" w:rsidRDefault="00913580" w:rsidP="0014009D">
      <w:pPr>
        <w:spacing w:after="0" w:line="480" w:lineRule="auto"/>
        <w:rPr>
          <w:rFonts w:ascii="Times New Roman" w:hAnsi="Times New Roman" w:cs="Times New Roman"/>
          <w:sz w:val="24"/>
          <w:szCs w:val="24"/>
        </w:rPr>
      </w:pPr>
      <w:r w:rsidRPr="004571CA">
        <w:rPr>
          <w:rFonts w:ascii="Times New Roman" w:hAnsi="Times New Roman" w:cs="Times New Roman"/>
          <w:sz w:val="24"/>
          <w:szCs w:val="24"/>
        </w:rPr>
        <w:fldChar w:fldCharType="end"/>
      </w:r>
    </w:p>
    <w:sectPr w:rsidR="004571CA" w:rsidRPr="004571CA" w:rsidSect="004571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1D1" w:rsidRDefault="00DA11D1" w:rsidP="004571CA">
      <w:pPr>
        <w:spacing w:after="0" w:line="240" w:lineRule="auto"/>
      </w:pPr>
      <w:r>
        <w:separator/>
      </w:r>
    </w:p>
  </w:endnote>
  <w:endnote w:type="continuationSeparator" w:id="0">
    <w:p w:rsidR="00DA11D1" w:rsidRDefault="00DA11D1" w:rsidP="004571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1D1" w:rsidRDefault="00DA11D1" w:rsidP="004571CA">
      <w:pPr>
        <w:spacing w:after="0" w:line="240" w:lineRule="auto"/>
      </w:pPr>
      <w:r>
        <w:separator/>
      </w:r>
    </w:p>
  </w:footnote>
  <w:footnote w:type="continuationSeparator" w:id="0">
    <w:p w:rsidR="00DA11D1" w:rsidRDefault="00DA11D1" w:rsidP="004571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CA" w:rsidRPr="004571CA" w:rsidRDefault="004571CA">
    <w:pPr>
      <w:pStyle w:val="Header"/>
      <w:jc w:val="right"/>
      <w:rPr>
        <w:rFonts w:ascii="Times New Roman" w:hAnsi="Times New Roman" w:cs="Times New Roman"/>
        <w:sz w:val="24"/>
        <w:szCs w:val="24"/>
      </w:rPr>
    </w:pPr>
    <w:r w:rsidRPr="004571CA">
      <w:rPr>
        <w:rFonts w:ascii="Times New Roman" w:hAnsi="Times New Roman" w:cs="Times New Roman"/>
        <w:sz w:val="24"/>
        <w:szCs w:val="24"/>
      </w:rPr>
      <w:t xml:space="preserve">TRANSITION PLANNING </w:t>
    </w:r>
    <w:r w:rsidRPr="004571CA">
      <w:rPr>
        <w:rFonts w:ascii="Times New Roman" w:hAnsi="Times New Roman" w:cs="Times New Roman"/>
        <w:sz w:val="24"/>
        <w:szCs w:val="24"/>
      </w:rPr>
      <w:tab/>
    </w:r>
    <w:r w:rsidRPr="004571CA">
      <w:rPr>
        <w:rFonts w:ascii="Times New Roman" w:hAnsi="Times New Roman" w:cs="Times New Roman"/>
        <w:sz w:val="24"/>
        <w:szCs w:val="24"/>
      </w:rPr>
      <w:tab/>
    </w:r>
    <w:sdt>
      <w:sdtPr>
        <w:rPr>
          <w:rFonts w:ascii="Times New Roman" w:hAnsi="Times New Roman" w:cs="Times New Roman"/>
          <w:sz w:val="24"/>
          <w:szCs w:val="24"/>
        </w:rPr>
        <w:id w:val="-572505278"/>
        <w:docPartObj>
          <w:docPartGallery w:val="Page Numbers (Top of Page)"/>
          <w:docPartUnique/>
        </w:docPartObj>
      </w:sdtPr>
      <w:sdtEndPr>
        <w:rPr>
          <w:noProof/>
        </w:rPr>
      </w:sdtEndPr>
      <w:sdtContent>
        <w:r w:rsidR="00913580" w:rsidRPr="004571CA">
          <w:rPr>
            <w:rFonts w:ascii="Times New Roman" w:hAnsi="Times New Roman" w:cs="Times New Roman"/>
            <w:sz w:val="24"/>
            <w:szCs w:val="24"/>
          </w:rPr>
          <w:fldChar w:fldCharType="begin"/>
        </w:r>
        <w:r w:rsidRPr="004571CA">
          <w:rPr>
            <w:rFonts w:ascii="Times New Roman" w:hAnsi="Times New Roman" w:cs="Times New Roman"/>
            <w:sz w:val="24"/>
            <w:szCs w:val="24"/>
          </w:rPr>
          <w:instrText xml:space="preserve"> PAGE   \* MERGEFORMAT </w:instrText>
        </w:r>
        <w:r w:rsidR="00913580" w:rsidRPr="004571CA">
          <w:rPr>
            <w:rFonts w:ascii="Times New Roman" w:hAnsi="Times New Roman" w:cs="Times New Roman"/>
            <w:sz w:val="24"/>
            <w:szCs w:val="24"/>
          </w:rPr>
          <w:fldChar w:fldCharType="separate"/>
        </w:r>
        <w:r w:rsidR="00DC0B30">
          <w:rPr>
            <w:rFonts w:ascii="Times New Roman" w:hAnsi="Times New Roman" w:cs="Times New Roman"/>
            <w:noProof/>
            <w:sz w:val="24"/>
            <w:szCs w:val="24"/>
          </w:rPr>
          <w:t>5</w:t>
        </w:r>
        <w:r w:rsidR="00913580" w:rsidRPr="004571CA">
          <w:rPr>
            <w:rFonts w:ascii="Times New Roman" w:hAnsi="Times New Roman" w:cs="Times New Roman"/>
            <w:noProof/>
            <w:sz w:val="24"/>
            <w:szCs w:val="24"/>
          </w:rPr>
          <w:fldChar w:fldCharType="end"/>
        </w:r>
      </w:sdtContent>
    </w:sdt>
  </w:p>
  <w:p w:rsidR="004571CA" w:rsidRPr="004571CA" w:rsidRDefault="004571C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CA" w:rsidRPr="004571CA" w:rsidRDefault="004571CA">
    <w:pPr>
      <w:pStyle w:val="Header"/>
      <w:rPr>
        <w:rFonts w:ascii="Times New Roman" w:hAnsi="Times New Roman" w:cs="Times New Roman"/>
        <w:sz w:val="24"/>
        <w:szCs w:val="24"/>
      </w:rPr>
    </w:pPr>
    <w:r w:rsidRPr="004571CA">
      <w:rPr>
        <w:rFonts w:ascii="Times New Roman" w:hAnsi="Times New Roman" w:cs="Times New Roman"/>
        <w:sz w:val="24"/>
        <w:szCs w:val="24"/>
      </w:rPr>
      <w:t>Running head</w:t>
    </w:r>
    <w:r>
      <w:rPr>
        <w:rFonts w:ascii="Times New Roman" w:hAnsi="Times New Roman" w:cs="Times New Roman"/>
        <w:sz w:val="24"/>
        <w:szCs w:val="24"/>
      </w:rPr>
      <w:t>:</w:t>
    </w:r>
    <w:r w:rsidRPr="004571CA">
      <w:rPr>
        <w:rFonts w:ascii="Times New Roman" w:hAnsi="Times New Roman" w:cs="Times New Roman"/>
        <w:sz w:val="24"/>
        <w:szCs w:val="24"/>
      </w:rPr>
      <w:t xml:space="preserve"> TRANSITION PLANNING </w:t>
    </w:r>
    <w:r w:rsidRPr="004571CA">
      <w:rPr>
        <w:rFonts w:ascii="Times New Roman" w:hAnsi="Times New Roman" w:cs="Times New Roman"/>
        <w:sz w:val="24"/>
        <w:szCs w:val="24"/>
      </w:rPr>
      <w:tab/>
    </w:r>
    <w:r w:rsidRPr="004571CA">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C5D3B"/>
    <w:rsid w:val="0014009D"/>
    <w:rsid w:val="0017251A"/>
    <w:rsid w:val="0040178A"/>
    <w:rsid w:val="00434A72"/>
    <w:rsid w:val="004571CA"/>
    <w:rsid w:val="004D6EF3"/>
    <w:rsid w:val="005130B8"/>
    <w:rsid w:val="00615597"/>
    <w:rsid w:val="00754818"/>
    <w:rsid w:val="007646E8"/>
    <w:rsid w:val="00783E6A"/>
    <w:rsid w:val="007B670E"/>
    <w:rsid w:val="00851987"/>
    <w:rsid w:val="0086523C"/>
    <w:rsid w:val="00906100"/>
    <w:rsid w:val="00913580"/>
    <w:rsid w:val="00950A8F"/>
    <w:rsid w:val="00B10342"/>
    <w:rsid w:val="00B4112D"/>
    <w:rsid w:val="00B5568D"/>
    <w:rsid w:val="00B77F7D"/>
    <w:rsid w:val="00C95843"/>
    <w:rsid w:val="00CA4184"/>
    <w:rsid w:val="00CB62C1"/>
    <w:rsid w:val="00DA11D1"/>
    <w:rsid w:val="00DC0B30"/>
    <w:rsid w:val="00DE39CD"/>
    <w:rsid w:val="00E242E9"/>
    <w:rsid w:val="00EC5D3B"/>
    <w:rsid w:val="00EF06CF"/>
    <w:rsid w:val="00F019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8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1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1CA"/>
  </w:style>
  <w:style w:type="paragraph" w:styleId="Footer">
    <w:name w:val="footer"/>
    <w:basedOn w:val="Normal"/>
    <w:link w:val="FooterChar"/>
    <w:uiPriority w:val="99"/>
    <w:unhideWhenUsed/>
    <w:rsid w:val="004571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1CA"/>
  </w:style>
  <w:style w:type="paragraph" w:styleId="Bibliography">
    <w:name w:val="Bibliography"/>
    <w:basedOn w:val="Normal"/>
    <w:next w:val="Normal"/>
    <w:uiPriority w:val="37"/>
    <w:unhideWhenUsed/>
    <w:rsid w:val="004571CA"/>
  </w:style>
  <w:style w:type="paragraph" w:styleId="NormalWeb">
    <w:name w:val="Normal (Web)"/>
    <w:basedOn w:val="Normal"/>
    <w:uiPriority w:val="99"/>
    <w:unhideWhenUsed/>
    <w:rsid w:val="001400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009D"/>
    <w:rPr>
      <w:b/>
      <w:bCs/>
    </w:rPr>
  </w:style>
</w:styles>
</file>

<file path=word/webSettings.xml><?xml version="1.0" encoding="utf-8"?>
<w:webSettings xmlns:r="http://schemas.openxmlformats.org/officeDocument/2006/relationships" xmlns:w="http://schemas.openxmlformats.org/wordprocessingml/2006/main">
  <w:divs>
    <w:div w:id="190068754">
      <w:bodyDiv w:val="1"/>
      <w:marLeft w:val="0"/>
      <w:marRight w:val="0"/>
      <w:marTop w:val="0"/>
      <w:marBottom w:val="0"/>
      <w:divBdr>
        <w:top w:val="none" w:sz="0" w:space="0" w:color="auto"/>
        <w:left w:val="none" w:sz="0" w:space="0" w:color="auto"/>
        <w:bottom w:val="none" w:sz="0" w:space="0" w:color="auto"/>
        <w:right w:val="none" w:sz="0" w:space="0" w:color="auto"/>
      </w:divBdr>
    </w:div>
    <w:div w:id="840779731">
      <w:bodyDiv w:val="1"/>
      <w:marLeft w:val="0"/>
      <w:marRight w:val="0"/>
      <w:marTop w:val="0"/>
      <w:marBottom w:val="0"/>
      <w:divBdr>
        <w:top w:val="none" w:sz="0" w:space="0" w:color="auto"/>
        <w:left w:val="none" w:sz="0" w:space="0" w:color="auto"/>
        <w:bottom w:val="none" w:sz="0" w:space="0" w:color="auto"/>
        <w:right w:val="none" w:sz="0" w:space="0" w:color="auto"/>
      </w:divBdr>
    </w:div>
    <w:div w:id="175685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Wri19</b:Tag>
    <b:SourceType>DocumentFromInternetSite</b:SourceType>
    <b:Guid>{4FBDF76C-D965-4E18-BC6C-9642DB1A3D46}</b:Guid>
    <b:Author>
      <b:Author>
        <b:NameList>
          <b:Person>
            <b:Last>Wrightslaw</b:Last>
          </b:Person>
        </b:NameList>
      </b:Author>
    </b:Author>
    <b:Title>Writing Individualized Education Programs </b:Title>
    <b:InternetSiteTitle>Wrightslaw</b:InternetSiteTitle>
    <b:Year>2019</b:Year>
    <b:URL>https://www.wrightslaw.com/advoc/articles/iep.success.bateman.htm</b:URL>
    <b:RefOrder>1</b:RefOrder>
  </b:Source>
</b:Sources>
</file>

<file path=customXml/itemProps1.xml><?xml version="1.0" encoding="utf-8"?>
<ds:datastoreItem xmlns:ds="http://schemas.openxmlformats.org/officeDocument/2006/customXml" ds:itemID="{73752327-9BEE-419E-9DF6-0C6E37F97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dc:creator>
  <cp:lastModifiedBy>FRANK</cp:lastModifiedBy>
  <cp:revision>2</cp:revision>
  <dcterms:created xsi:type="dcterms:W3CDTF">2019-09-19T03:41:00Z</dcterms:created>
  <dcterms:modified xsi:type="dcterms:W3CDTF">2019-09-19T03:41:00Z</dcterms:modified>
</cp:coreProperties>
</file>